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503AA07E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proofErr w:type="spellStart"/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6F6A3B">
        <w:rPr>
          <w:rFonts w:ascii="Arial" w:hAnsi="Arial" w:cs="Arial"/>
          <w:szCs w:val="24"/>
          <w:u w:val="single"/>
        </w:rPr>
        <w:t>June</w:t>
      </w:r>
      <w:proofErr w:type="spellEnd"/>
      <w:r w:rsidR="006F6A3B">
        <w:rPr>
          <w:rFonts w:ascii="Arial" w:hAnsi="Arial" w:cs="Arial"/>
          <w:szCs w:val="24"/>
          <w:u w:val="single"/>
        </w:rPr>
        <w:t xml:space="preserve"> 21, 2023</w:t>
      </w:r>
      <w:r w:rsidR="001A34D6" w:rsidRPr="00C80AC4">
        <w:rPr>
          <w:rFonts w:ascii="Arial" w:hAnsi="Arial" w:cs="Arial"/>
          <w:szCs w:val="24"/>
        </w:rPr>
        <w:t xml:space="preserve">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1AC85C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C414C7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E60E9C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E60E9C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D823300" w:rsidR="00EA2A37" w:rsidRPr="00C80AC4" w:rsidRDefault="009645A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111</w:t>
            </w:r>
          </w:p>
        </w:tc>
        <w:tc>
          <w:tcPr>
            <w:tcW w:w="10615" w:type="dxa"/>
          </w:tcPr>
          <w:p w14:paraId="25DCF746" w14:textId="067F7F40" w:rsidR="00EA2A37" w:rsidRPr="00C80AC4" w:rsidRDefault="009645A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SB-23-12144 – Procurement - Multiple Awards - Solicitation No. RFQ-000155 – Fiber Optic Cable Installation, Maintenance and Repair Services under action requested please add Highlander Contracting Company, LLC. </w:t>
            </w:r>
            <w:r w:rsidR="002A6322">
              <w:rPr>
                <w:rFonts w:ascii="Arial" w:hAnsi="Arial" w:cs="Arial"/>
                <w:szCs w:val="24"/>
              </w:rPr>
              <w:t>(2</w:t>
            </w:r>
            <w:r>
              <w:rPr>
                <w:rFonts w:ascii="Arial" w:hAnsi="Arial" w:cs="Arial"/>
                <w:szCs w:val="24"/>
              </w:rPr>
              <w:t xml:space="preserve"> vendors were awarded)</w:t>
            </w:r>
            <w:r w:rsidR="002A6322">
              <w:rPr>
                <w:rFonts w:ascii="Arial" w:hAnsi="Arial" w:cs="Arial"/>
                <w:szCs w:val="24"/>
              </w:rPr>
              <w:t>. Under WBE please delete 101.00% and insert 1.00%</w:t>
            </w:r>
          </w:p>
        </w:tc>
      </w:tr>
      <w:tr w:rsidR="00B9306C" w:rsidRPr="00C80AC4" w14:paraId="642B723B" w14:textId="77777777" w:rsidTr="00E60E9C">
        <w:trPr>
          <w:trHeight w:val="366"/>
        </w:trPr>
        <w:tc>
          <w:tcPr>
            <w:tcW w:w="990" w:type="dxa"/>
            <w:vMerge/>
          </w:tcPr>
          <w:p w14:paraId="1EC7013B" w14:textId="77777777" w:rsidR="00B9306C" w:rsidRPr="00C80AC4" w:rsidRDefault="00B9306C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386F971" w14:textId="28AD55DC" w:rsidR="00B9306C" w:rsidRDefault="00B9306C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126</w:t>
            </w:r>
          </w:p>
        </w:tc>
        <w:tc>
          <w:tcPr>
            <w:tcW w:w="10615" w:type="dxa"/>
          </w:tcPr>
          <w:p w14:paraId="7C1C490D" w14:textId="664367CC" w:rsidR="00B9306C" w:rsidRDefault="00B9306C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SB-23-12082 – Recreation and Parks – Transfer of Funds correct transaction amount to $100,000.00.</w:t>
            </w:r>
          </w:p>
        </w:tc>
      </w:tr>
      <w:tr w:rsidR="00EA2A37" w:rsidRPr="00C80AC4" w14:paraId="5199B532" w14:textId="77777777" w:rsidTr="00E60E9C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231657B3" w:rsidR="00EA2A37" w:rsidRPr="002A6322" w:rsidRDefault="002A6322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WALK-ON </w:t>
            </w:r>
            <w:r w:rsidRPr="002A6322">
              <w:rPr>
                <w:rFonts w:ascii="Arial" w:hAnsi="Arial" w:cs="Arial"/>
                <w:szCs w:val="24"/>
              </w:rPr>
              <w:t>SB-23-12212</w:t>
            </w:r>
            <w:r w:rsidR="007F36FB">
              <w:rPr>
                <w:rFonts w:ascii="Arial" w:hAnsi="Arial" w:cs="Arial"/>
                <w:szCs w:val="24"/>
              </w:rPr>
              <w:t xml:space="preserve"> -</w:t>
            </w:r>
            <w:r>
              <w:rPr>
                <w:rFonts w:ascii="Arial" w:hAnsi="Arial" w:cs="Arial"/>
                <w:szCs w:val="24"/>
              </w:rPr>
              <w:t xml:space="preserve"> Dept. of Transportation – Grant Agreement – Pedestrian Facility Remediation for ADA Compliance Citywide.</w:t>
            </w:r>
            <w:r w:rsidR="007604FC">
              <w:rPr>
                <w:rFonts w:ascii="Arial" w:hAnsi="Arial" w:cs="Arial"/>
                <w:szCs w:val="24"/>
              </w:rPr>
              <w:t xml:space="preserve">  State process requires this agreement to be executed by 6/30/23.  Approval today will allow the process for this item to be completed by deadline.</w:t>
            </w:r>
          </w:p>
        </w:tc>
      </w:tr>
      <w:tr w:rsidR="00EA2A37" w:rsidRPr="00C80AC4" w14:paraId="56E98D5E" w14:textId="77777777" w:rsidTr="00E60E9C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C9242C" w14:textId="178E340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F7D59C5" w14:textId="5EC20AA0" w:rsidR="00EA2A37" w:rsidRPr="007F36FB" w:rsidRDefault="007F36F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  <w:r>
              <w:rPr>
                <w:rFonts w:ascii="Arial" w:hAnsi="Arial" w:cs="Arial"/>
                <w:szCs w:val="24"/>
              </w:rPr>
              <w:t xml:space="preserve"> SB-23-12196 – Procurement Formal Award </w:t>
            </w:r>
            <w:proofErr w:type="spellStart"/>
            <w:r>
              <w:rPr>
                <w:rFonts w:ascii="Arial" w:hAnsi="Arial" w:cs="Arial"/>
                <w:szCs w:val="24"/>
              </w:rPr>
              <w:t>Sourcewell</w:t>
            </w:r>
            <w:proofErr w:type="spellEnd"/>
            <w:r>
              <w:rPr>
                <w:rFonts w:ascii="Arial" w:hAnsi="Arial" w:cs="Arial"/>
                <w:szCs w:val="24"/>
              </w:rPr>
              <w:t>, Contract No. 010521 – BUR Playground and Water Play Equipment with Related Accessories and Services</w:t>
            </w:r>
            <w:r w:rsidR="007604FC">
              <w:rPr>
                <w:rFonts w:ascii="Arial" w:hAnsi="Arial" w:cs="Arial"/>
                <w:szCs w:val="24"/>
              </w:rPr>
              <w:t xml:space="preserve">. Approval today will allow this the project to meet funding source requirements and progress toward completion at multiple sites. </w:t>
            </w:r>
          </w:p>
        </w:tc>
      </w:tr>
      <w:tr w:rsidR="007F36FB" w:rsidRPr="00C80AC4" w14:paraId="17E386E0" w14:textId="77777777" w:rsidTr="00E60E9C">
        <w:trPr>
          <w:trHeight w:val="366"/>
        </w:trPr>
        <w:tc>
          <w:tcPr>
            <w:tcW w:w="990" w:type="dxa"/>
          </w:tcPr>
          <w:p w14:paraId="7FAD5297" w14:textId="77777777" w:rsidR="007F36FB" w:rsidRPr="00C80AC4" w:rsidRDefault="007F36FB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7465E65" w14:textId="77777777" w:rsidR="007F36FB" w:rsidRPr="00C80AC4" w:rsidRDefault="007F36FB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1A02621" w14:textId="36C08092" w:rsidR="007F36FB" w:rsidRPr="007F36FB" w:rsidRDefault="007F36FB" w:rsidP="000D720F">
            <w:pPr>
              <w:jc w:val="left"/>
              <w:rPr>
                <w:rFonts w:ascii="Arial" w:hAnsi="Arial" w:cs="Arial"/>
                <w:szCs w:val="24"/>
              </w:rPr>
            </w:pPr>
            <w:bookmarkStart w:id="0" w:name="_Hlk138174179"/>
            <w:r>
              <w:rPr>
                <w:rFonts w:ascii="Arial" w:hAnsi="Arial" w:cs="Arial"/>
                <w:b/>
                <w:szCs w:val="24"/>
              </w:rPr>
              <w:t>WALK-ON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9483E">
              <w:rPr>
                <w:rFonts w:ascii="Arial" w:hAnsi="Arial" w:cs="Arial"/>
                <w:szCs w:val="24"/>
              </w:rPr>
              <w:t>SB-23-12199 – Procurement BCRP Playground Specialist</w:t>
            </w:r>
            <w:bookmarkEnd w:id="0"/>
            <w:r w:rsidR="007604FC">
              <w:rPr>
                <w:rFonts w:ascii="Arial" w:hAnsi="Arial" w:cs="Arial"/>
                <w:szCs w:val="24"/>
              </w:rPr>
              <w:t>.  Approval today will allow this the project to meet funding source requirements and progress toward completion at multiple sites.</w:t>
            </w:r>
          </w:p>
        </w:tc>
      </w:tr>
      <w:tr w:rsidR="00866098" w:rsidRPr="00C80AC4" w14:paraId="187A251E" w14:textId="77777777" w:rsidTr="00E60E9C">
        <w:trPr>
          <w:trHeight w:val="366"/>
        </w:trPr>
        <w:tc>
          <w:tcPr>
            <w:tcW w:w="990" w:type="dxa"/>
          </w:tcPr>
          <w:p w14:paraId="03AF4283" w14:textId="77777777" w:rsidR="00866098" w:rsidRPr="00C80AC4" w:rsidRDefault="00866098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75973F7A" w14:textId="77777777" w:rsidR="00866098" w:rsidRPr="00C80AC4" w:rsidRDefault="00866098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466B2BBF" w14:textId="183C94FE" w:rsidR="00866098" w:rsidRPr="00866098" w:rsidRDefault="00866098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 </w:t>
            </w:r>
            <w:r>
              <w:rPr>
                <w:rFonts w:ascii="Arial" w:hAnsi="Arial" w:cs="Arial"/>
                <w:szCs w:val="24"/>
              </w:rPr>
              <w:t xml:space="preserve">for a Special Meeting to be held on Wednesday, June 28 @ 9am in BOE Chambers and via </w:t>
            </w:r>
            <w:proofErr w:type="spellStart"/>
            <w:r>
              <w:rPr>
                <w:rFonts w:ascii="Arial" w:hAnsi="Arial" w:cs="Arial"/>
                <w:szCs w:val="24"/>
              </w:rPr>
              <w:t>Webex</w:t>
            </w:r>
            <w:proofErr w:type="spellEnd"/>
            <w:r>
              <w:rPr>
                <w:rFonts w:ascii="Arial" w:hAnsi="Arial" w:cs="Arial"/>
                <w:szCs w:val="24"/>
              </w:rPr>
              <w:t>.  The purpose of th</w:t>
            </w:r>
            <w:r w:rsidR="007604FC">
              <w:rPr>
                <w:rFonts w:ascii="Arial" w:hAnsi="Arial" w:cs="Arial"/>
                <w:szCs w:val="24"/>
              </w:rPr>
              <w:t xml:space="preserve">is request and </w:t>
            </w:r>
            <w:r>
              <w:rPr>
                <w:rFonts w:ascii="Arial" w:hAnsi="Arial" w:cs="Arial"/>
                <w:szCs w:val="24"/>
              </w:rPr>
              <w:t>meeting is to support time sensitive business matters requiring the approval of this Board prior to fiscal year end June 30.</w:t>
            </w:r>
            <w:r w:rsidR="005F6A02">
              <w:rPr>
                <w:rFonts w:ascii="Arial" w:hAnsi="Arial" w:cs="Arial"/>
                <w:szCs w:val="24"/>
              </w:rPr>
              <w:t xml:space="preserve">  An agenda for this meeting will be publicly posted on the City website by noon June 22, 2023.</w:t>
            </w:r>
          </w:p>
        </w:tc>
      </w:tr>
    </w:tbl>
    <w:p w14:paraId="0BBA5002" w14:textId="7BB6E72B" w:rsidR="00B9306C" w:rsidRDefault="00B9306C" w:rsidP="001A34D6">
      <w:pPr>
        <w:jc w:val="left"/>
        <w:rPr>
          <w:rFonts w:ascii="Arial" w:hAnsi="Arial" w:cs="Arial"/>
          <w:b/>
          <w:bCs/>
          <w:szCs w:val="24"/>
        </w:rPr>
      </w:pPr>
    </w:p>
    <w:p w14:paraId="32CF66CA" w14:textId="77777777" w:rsidR="00B9306C" w:rsidRDefault="00B9306C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lastRenderedPageBreak/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3FD35847" w:rsidR="002A6322" w:rsidRDefault="002A6322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68"/>
        <w:gridCol w:w="1282"/>
        <w:gridCol w:w="6580"/>
        <w:gridCol w:w="1284"/>
        <w:gridCol w:w="1284"/>
        <w:gridCol w:w="1737"/>
      </w:tblGrid>
      <w:tr w:rsidR="008B1317" w:rsidRPr="00C80AC4" w14:paraId="2A49391F" w14:textId="77777777" w:rsidTr="0097211E">
        <w:trPr>
          <w:trHeight w:val="317"/>
        </w:trPr>
        <w:tc>
          <w:tcPr>
            <w:tcW w:w="968" w:type="dxa"/>
            <w:vMerge w:val="restart"/>
          </w:tcPr>
          <w:p w14:paraId="72833967" w14:textId="6DB22ADA" w:rsidR="008B1317" w:rsidRPr="00C80AC4" w:rsidRDefault="002A6322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 w:type="page"/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97211E">
        <w:trPr>
          <w:trHeight w:val="317"/>
        </w:trPr>
        <w:tc>
          <w:tcPr>
            <w:tcW w:w="968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580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9F7ABC" w14:textId="77777777" w:rsidTr="0097211E">
        <w:trPr>
          <w:trHeight w:val="317"/>
        </w:trPr>
        <w:tc>
          <w:tcPr>
            <w:tcW w:w="968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</w:tcPr>
          <w:p w14:paraId="5DA1368A" w14:textId="2F2317E2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580" w:type="dxa"/>
          </w:tcPr>
          <w:p w14:paraId="0CB6358F" w14:textId="2CC39D49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SB-23-11820 – Dept. of Finance – Financial Advisory Service – Debt Study</w:t>
            </w:r>
            <w:r w:rsidR="007604FC">
              <w:rPr>
                <w:rFonts w:ascii="Arial" w:hAnsi="Arial" w:cs="Arial"/>
                <w:szCs w:val="24"/>
              </w:rPr>
              <w:t xml:space="preserve">.  </w:t>
            </w:r>
            <w:r w:rsidR="007604FC" w:rsidRPr="007604FC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4531783B" w14:textId="3C4FACFD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6/21/2023</w:t>
            </w:r>
          </w:p>
        </w:tc>
        <w:tc>
          <w:tcPr>
            <w:tcW w:w="1284" w:type="dxa"/>
          </w:tcPr>
          <w:p w14:paraId="15DE3BA3" w14:textId="79214794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737" w:type="dxa"/>
          </w:tcPr>
          <w:p w14:paraId="09A2ABA4" w14:textId="407FDFDA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</w:tr>
      <w:tr w:rsidR="008B1317" w:rsidRPr="00C80AC4" w14:paraId="5DF76A1D" w14:textId="77777777" w:rsidTr="0097211E">
        <w:trPr>
          <w:trHeight w:val="317"/>
        </w:trPr>
        <w:tc>
          <w:tcPr>
            <w:tcW w:w="968" w:type="dxa"/>
            <w:vMerge/>
          </w:tcPr>
          <w:p w14:paraId="5C1066D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</w:tcPr>
          <w:p w14:paraId="41345510" w14:textId="26DAAFEA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6580" w:type="dxa"/>
          </w:tcPr>
          <w:p w14:paraId="0FB02DB1" w14:textId="19FB2DA5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SB-23-12085 – DGS – Bid Rejection for GS16810RR – Mitchell Courthouse Roof Replacements</w:t>
            </w:r>
            <w:r w:rsidR="007604FC">
              <w:rPr>
                <w:rFonts w:ascii="Arial" w:hAnsi="Arial" w:cs="Arial"/>
                <w:szCs w:val="24"/>
              </w:rPr>
              <w:t xml:space="preserve">. </w:t>
            </w:r>
            <w:r w:rsidR="007604FC" w:rsidRPr="007604FC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74D5A1D6" w14:textId="1A044336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6/21/2023</w:t>
            </w:r>
          </w:p>
        </w:tc>
        <w:tc>
          <w:tcPr>
            <w:tcW w:w="1284" w:type="dxa"/>
          </w:tcPr>
          <w:p w14:paraId="42AE73F8" w14:textId="5612BBFD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737" w:type="dxa"/>
          </w:tcPr>
          <w:p w14:paraId="39A3DA38" w14:textId="7E688597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</w:tr>
      <w:tr w:rsidR="008B1317" w:rsidRPr="00C80AC4" w14:paraId="2EFD6053" w14:textId="77777777" w:rsidTr="0097211E">
        <w:trPr>
          <w:trHeight w:val="317"/>
        </w:trPr>
        <w:tc>
          <w:tcPr>
            <w:tcW w:w="968" w:type="dxa"/>
            <w:vMerge/>
          </w:tcPr>
          <w:p w14:paraId="1A89024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</w:tcPr>
          <w:p w14:paraId="77AEB738" w14:textId="65E8BE0A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6580" w:type="dxa"/>
          </w:tcPr>
          <w:p w14:paraId="04B7D3A3" w14:textId="433874D1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SB-23-11673 – DHCD – Community Catalyst Grant – Rebuilding Together Baltimore</w:t>
            </w:r>
            <w:r w:rsidR="007604FC" w:rsidRPr="007604FC">
              <w:rPr>
                <w:rFonts w:ascii="Arial" w:hAnsi="Arial" w:cs="Arial"/>
                <w:b/>
                <w:szCs w:val="24"/>
              </w:rPr>
              <w:t>. DEFERRED.</w:t>
            </w:r>
          </w:p>
        </w:tc>
        <w:tc>
          <w:tcPr>
            <w:tcW w:w="1284" w:type="dxa"/>
          </w:tcPr>
          <w:p w14:paraId="1B3EC419" w14:textId="22D3E468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6/21/2023</w:t>
            </w:r>
          </w:p>
        </w:tc>
        <w:tc>
          <w:tcPr>
            <w:tcW w:w="1284" w:type="dxa"/>
          </w:tcPr>
          <w:p w14:paraId="51F5A92E" w14:textId="0D1F94CA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737" w:type="dxa"/>
          </w:tcPr>
          <w:p w14:paraId="58682918" w14:textId="136171E8" w:rsidR="008B1317" w:rsidRPr="00C80AC4" w:rsidRDefault="006F6A3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</w:tr>
      <w:tr w:rsidR="008B1317" w:rsidRPr="00C80AC4" w14:paraId="4B7B9748" w14:textId="77777777" w:rsidTr="0097211E">
        <w:trPr>
          <w:trHeight w:val="317"/>
        </w:trPr>
        <w:tc>
          <w:tcPr>
            <w:tcW w:w="968" w:type="dxa"/>
            <w:vMerge/>
          </w:tcPr>
          <w:p w14:paraId="51E1A10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</w:tcPr>
          <w:p w14:paraId="49652B7D" w14:textId="34C2C93D" w:rsidR="008B1317" w:rsidRPr="00C80AC4" w:rsidRDefault="0097211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128-129</w:t>
            </w:r>
          </w:p>
        </w:tc>
        <w:tc>
          <w:tcPr>
            <w:tcW w:w="6580" w:type="dxa"/>
          </w:tcPr>
          <w:p w14:paraId="4942445C" w14:textId="503456F3" w:rsidR="008B1317" w:rsidRPr="00C80AC4" w:rsidRDefault="0097211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SB-23-12035 – Dept. of Transportation – TR22013 Resurfacing Highways @Various Locations, Southeast Sector VI.</w:t>
            </w:r>
            <w:r w:rsidR="007604FC">
              <w:rPr>
                <w:rFonts w:ascii="Arial" w:hAnsi="Arial" w:cs="Arial"/>
                <w:szCs w:val="24"/>
              </w:rPr>
              <w:t xml:space="preserve"> </w:t>
            </w:r>
            <w:r w:rsidR="007604FC" w:rsidRPr="007604FC">
              <w:rPr>
                <w:rFonts w:ascii="Arial" w:hAnsi="Arial" w:cs="Arial"/>
                <w:b/>
                <w:szCs w:val="24"/>
              </w:rPr>
              <w:t>DEFERRED.</w:t>
            </w:r>
          </w:p>
        </w:tc>
        <w:tc>
          <w:tcPr>
            <w:tcW w:w="1284" w:type="dxa"/>
          </w:tcPr>
          <w:p w14:paraId="0E45511F" w14:textId="5B1AC64C" w:rsidR="008B1317" w:rsidRPr="00C80AC4" w:rsidRDefault="0097211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6/21/2023</w:t>
            </w:r>
          </w:p>
        </w:tc>
        <w:tc>
          <w:tcPr>
            <w:tcW w:w="1284" w:type="dxa"/>
          </w:tcPr>
          <w:p w14:paraId="1445C19F" w14:textId="6F3DCE63" w:rsidR="008B1317" w:rsidRPr="00C80AC4" w:rsidRDefault="0097211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7/12/2023</w:t>
            </w:r>
          </w:p>
        </w:tc>
        <w:tc>
          <w:tcPr>
            <w:tcW w:w="1737" w:type="dxa"/>
          </w:tcPr>
          <w:p w14:paraId="53219C72" w14:textId="3167901F" w:rsidR="008B1317" w:rsidRPr="00C80AC4" w:rsidRDefault="0097211E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FF29272" w14:textId="55333AE4" w:rsidR="002A7C22" w:rsidRDefault="002A7C22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296720EF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1"/>
        <w:gridCol w:w="1077"/>
        <w:gridCol w:w="8580"/>
        <w:gridCol w:w="1243"/>
        <w:gridCol w:w="1254"/>
      </w:tblGrid>
      <w:tr w:rsidR="00555785" w:rsidRPr="00C80AC4" w14:paraId="351332D5" w14:textId="77777777" w:rsidTr="00E62226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720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E62226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E62226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311015FB" w:rsidR="00555785" w:rsidRPr="00C80AC4" w:rsidRDefault="00E60E9C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51-52</w:t>
            </w:r>
          </w:p>
        </w:tc>
        <w:tc>
          <w:tcPr>
            <w:tcW w:w="8640" w:type="dxa"/>
          </w:tcPr>
          <w:p w14:paraId="32819996" w14:textId="09B515F7" w:rsidR="00555785" w:rsidRPr="00C80AC4" w:rsidRDefault="00E60E9C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SB-23-12138 – Mayoralty – Amendment to Resolution Relating to Cost Escalation Change Orders due to Adverse Economic Conditions.</w:t>
            </w:r>
          </w:p>
        </w:tc>
        <w:tc>
          <w:tcPr>
            <w:tcW w:w="1171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15765" w:rsidRPr="00C80AC4" w14:paraId="5B826FA3" w14:textId="77777777" w:rsidTr="00E62226">
        <w:trPr>
          <w:trHeight w:val="268"/>
        </w:trPr>
        <w:tc>
          <w:tcPr>
            <w:tcW w:w="990" w:type="dxa"/>
            <w:vMerge/>
          </w:tcPr>
          <w:p w14:paraId="180F4BED" w14:textId="77777777" w:rsidR="00F15765" w:rsidRPr="00C80AC4" w:rsidRDefault="00F157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DE08CAE" w14:textId="78A4E40E" w:rsidR="00F15765" w:rsidRDefault="00F15765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8640" w:type="dxa"/>
          </w:tcPr>
          <w:p w14:paraId="4A81B0EC" w14:textId="31DCDAE2" w:rsidR="00F15765" w:rsidRDefault="00F15765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SB-23-12145 – Procurement </w:t>
            </w:r>
            <w:r w:rsidR="00395527">
              <w:rPr>
                <w:rFonts w:ascii="Arial" w:hAnsi="Arial" w:cs="Arial"/>
                <w:szCs w:val="24"/>
              </w:rPr>
              <w:t>–</w:t>
            </w:r>
            <w:r w:rsidR="00D21348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Request</w:t>
            </w:r>
            <w:r w:rsidR="00395527">
              <w:rPr>
                <w:rFonts w:ascii="Arial" w:hAnsi="Arial" w:cs="Arial"/>
                <w:szCs w:val="24"/>
              </w:rPr>
              <w:t xml:space="preserve"> to </w:t>
            </w:r>
            <w:r>
              <w:rPr>
                <w:rFonts w:ascii="Arial" w:hAnsi="Arial" w:cs="Arial"/>
                <w:szCs w:val="24"/>
              </w:rPr>
              <w:t>Pay Outstanding Invoices – Badger Daylighting Corp.</w:t>
            </w:r>
          </w:p>
        </w:tc>
        <w:tc>
          <w:tcPr>
            <w:tcW w:w="1171" w:type="dxa"/>
          </w:tcPr>
          <w:p w14:paraId="6C6D3309" w14:textId="77777777" w:rsidR="00F15765" w:rsidRPr="00C80AC4" w:rsidRDefault="00F157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44BD04A" w14:textId="77777777" w:rsidR="00F15765" w:rsidRPr="00C80AC4" w:rsidRDefault="00F1576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E62226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0752CA31" w:rsidR="00555785" w:rsidRPr="00C80AC4" w:rsidRDefault="00E60E9C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106</w:t>
            </w:r>
          </w:p>
        </w:tc>
        <w:tc>
          <w:tcPr>
            <w:tcW w:w="8640" w:type="dxa"/>
          </w:tcPr>
          <w:p w14:paraId="0AA17C6B" w14:textId="1205E07A" w:rsidR="00555785" w:rsidRPr="00C80AC4" w:rsidRDefault="00E60E9C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SB-23-12146 – Procurement</w:t>
            </w:r>
            <w:r w:rsidR="00E62226">
              <w:rPr>
                <w:rFonts w:ascii="Arial" w:hAnsi="Arial" w:cs="Arial"/>
                <w:szCs w:val="24"/>
              </w:rPr>
              <w:t xml:space="preserve"> via DOF – Technology License/Service/Software Agreement</w:t>
            </w:r>
          </w:p>
        </w:tc>
        <w:tc>
          <w:tcPr>
            <w:tcW w:w="1171" w:type="dxa"/>
          </w:tcPr>
          <w:p w14:paraId="702EC79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E62226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40" w:type="dxa"/>
          </w:tcPr>
          <w:p w14:paraId="054C2E57" w14:textId="6BC68209" w:rsidR="00555785" w:rsidRPr="00C80AC4" w:rsidRDefault="0089483E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WALK-ON </w:t>
            </w:r>
            <w:r w:rsidRPr="002A6322">
              <w:rPr>
                <w:rFonts w:ascii="Arial" w:hAnsi="Arial" w:cs="Arial"/>
                <w:szCs w:val="24"/>
              </w:rPr>
              <w:t>SB-23-12212</w:t>
            </w:r>
            <w:r>
              <w:rPr>
                <w:rFonts w:ascii="Arial" w:hAnsi="Arial" w:cs="Arial"/>
                <w:szCs w:val="24"/>
              </w:rPr>
              <w:t xml:space="preserve"> - Dept. of Transportation – Grant Agreement – Pedestrian Facility Remediation for ADA Compliance Citywide.</w:t>
            </w:r>
          </w:p>
        </w:tc>
        <w:tc>
          <w:tcPr>
            <w:tcW w:w="1171" w:type="dxa"/>
          </w:tcPr>
          <w:p w14:paraId="569A6764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9483E" w:rsidRPr="00C80AC4" w14:paraId="39FEEE72" w14:textId="77777777" w:rsidTr="00E62226">
        <w:trPr>
          <w:trHeight w:val="268"/>
        </w:trPr>
        <w:tc>
          <w:tcPr>
            <w:tcW w:w="990" w:type="dxa"/>
            <w:vMerge/>
          </w:tcPr>
          <w:p w14:paraId="04E80375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40" w:type="dxa"/>
          </w:tcPr>
          <w:p w14:paraId="541A6FCD" w14:textId="0022FA2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  <w:r>
              <w:rPr>
                <w:rFonts w:ascii="Arial" w:hAnsi="Arial" w:cs="Arial"/>
                <w:szCs w:val="24"/>
              </w:rPr>
              <w:t xml:space="preserve"> SB-23-12196 – Procurement Formal Award </w:t>
            </w:r>
            <w:proofErr w:type="spellStart"/>
            <w:r>
              <w:rPr>
                <w:rFonts w:ascii="Arial" w:hAnsi="Arial" w:cs="Arial"/>
                <w:szCs w:val="24"/>
              </w:rPr>
              <w:t>Sourcewell</w:t>
            </w:r>
            <w:proofErr w:type="spellEnd"/>
            <w:r>
              <w:rPr>
                <w:rFonts w:ascii="Arial" w:hAnsi="Arial" w:cs="Arial"/>
                <w:szCs w:val="24"/>
              </w:rPr>
              <w:t>, Contract No. 010521 – BUR Playground and Water Play Equipment with Related Accessories and Services</w:t>
            </w:r>
          </w:p>
        </w:tc>
        <w:tc>
          <w:tcPr>
            <w:tcW w:w="1171" w:type="dxa"/>
          </w:tcPr>
          <w:p w14:paraId="153FF74C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9483E" w:rsidRPr="00C80AC4" w14:paraId="291A0A01" w14:textId="77777777" w:rsidTr="00E62226">
        <w:trPr>
          <w:trHeight w:val="268"/>
        </w:trPr>
        <w:tc>
          <w:tcPr>
            <w:tcW w:w="990" w:type="dxa"/>
          </w:tcPr>
          <w:p w14:paraId="0A135409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228B849C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640" w:type="dxa"/>
          </w:tcPr>
          <w:p w14:paraId="5D6B1602" w14:textId="51B595A8" w:rsidR="0089483E" w:rsidRDefault="0089483E" w:rsidP="0089483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  <w:r>
              <w:rPr>
                <w:rFonts w:ascii="Arial" w:hAnsi="Arial" w:cs="Arial"/>
                <w:szCs w:val="24"/>
              </w:rPr>
              <w:t xml:space="preserve"> SB-23-12199 – Procurement BCRP Playground Specialist</w:t>
            </w:r>
          </w:p>
        </w:tc>
        <w:tc>
          <w:tcPr>
            <w:tcW w:w="1171" w:type="dxa"/>
          </w:tcPr>
          <w:p w14:paraId="7038338C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71E867C" w14:textId="77777777" w:rsidR="0089483E" w:rsidRPr="00C80AC4" w:rsidRDefault="0089483E" w:rsidP="008948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38BE1C44" w14:textId="77777777" w:rsidR="00555785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41EF0845" w14:textId="77777777" w:rsidR="00395527" w:rsidRPr="00C80AC4" w:rsidRDefault="0039552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180"/>
        <w:gridCol w:w="901"/>
        <w:gridCol w:w="1254"/>
      </w:tblGrid>
      <w:tr w:rsidR="008B1317" w:rsidRPr="00C80AC4" w14:paraId="0195BE7E" w14:textId="77777777" w:rsidTr="00B82760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90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84887FD" w14:textId="27BC445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APPROVE/NOTE</w:t>
            </w:r>
          </w:p>
        </w:tc>
      </w:tr>
      <w:tr w:rsidR="008B1317" w:rsidRPr="00C80AC4" w14:paraId="28C7EF55" w14:textId="77777777" w:rsidTr="00B82760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9180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B82760" w:rsidRPr="00C80AC4" w14:paraId="18A0AA6E" w14:textId="77777777" w:rsidTr="00B82760">
        <w:trPr>
          <w:trHeight w:val="268"/>
        </w:trPr>
        <w:tc>
          <w:tcPr>
            <w:tcW w:w="990" w:type="dxa"/>
            <w:vMerge/>
          </w:tcPr>
          <w:p w14:paraId="3957A278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72009B93" w14:textId="66B6F0D6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80" w:type="dxa"/>
          </w:tcPr>
          <w:p w14:paraId="1C5D4945" w14:textId="6348090E" w:rsidR="00B82760" w:rsidRDefault="00B82760" w:rsidP="00B82760">
            <w:pPr>
              <w:ind w:right="-559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SB-23-12080 – City Council Bill 22-0270 – Sale of Property 5545 </w:t>
            </w:r>
            <w:proofErr w:type="spellStart"/>
            <w:r>
              <w:rPr>
                <w:rFonts w:ascii="Arial" w:hAnsi="Arial" w:cs="Arial"/>
                <w:szCs w:val="24"/>
              </w:rPr>
              <w:t>Kennison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Avenue. </w:t>
            </w:r>
          </w:p>
        </w:tc>
        <w:tc>
          <w:tcPr>
            <w:tcW w:w="901" w:type="dxa"/>
          </w:tcPr>
          <w:p w14:paraId="41D0A113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BC03AE7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82760" w:rsidRPr="00C80AC4" w14:paraId="5A2D3E7D" w14:textId="77777777" w:rsidTr="00B82760">
        <w:trPr>
          <w:trHeight w:val="268"/>
        </w:trPr>
        <w:tc>
          <w:tcPr>
            <w:tcW w:w="990" w:type="dxa"/>
            <w:vMerge/>
          </w:tcPr>
          <w:p w14:paraId="6542A75D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19354681" w14:textId="4EEAD673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106</w:t>
            </w:r>
          </w:p>
        </w:tc>
        <w:tc>
          <w:tcPr>
            <w:tcW w:w="9180" w:type="dxa"/>
          </w:tcPr>
          <w:p w14:paraId="2BDE864D" w14:textId="77948682" w:rsidR="00B82760" w:rsidRPr="00C80AC4" w:rsidRDefault="00B82760" w:rsidP="00B82760">
            <w:pPr>
              <w:ind w:right="-559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SB-23-12146 – Procurement – via DOF – Technology License/Service/Software Agreement</w:t>
            </w:r>
          </w:p>
        </w:tc>
        <w:tc>
          <w:tcPr>
            <w:tcW w:w="901" w:type="dxa"/>
          </w:tcPr>
          <w:p w14:paraId="12D2FDBC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82760" w:rsidRPr="00C80AC4" w14:paraId="2B56CC27" w14:textId="77777777" w:rsidTr="00B82760">
        <w:trPr>
          <w:trHeight w:val="268"/>
        </w:trPr>
        <w:tc>
          <w:tcPr>
            <w:tcW w:w="990" w:type="dxa"/>
            <w:vMerge/>
          </w:tcPr>
          <w:p w14:paraId="3DC60AC1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14C31E53" w14:textId="491B778C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180" w:type="dxa"/>
          </w:tcPr>
          <w:p w14:paraId="1C6F129F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01" w:type="dxa"/>
          </w:tcPr>
          <w:p w14:paraId="6C2A27A3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B82760" w:rsidRPr="00C80AC4" w:rsidRDefault="00B82760" w:rsidP="00B82760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20E22D6" w14:textId="06E5682C" w:rsidR="002A7C22" w:rsidRDefault="002A7C22"/>
    <w:p w14:paraId="29DA1183" w14:textId="77777777" w:rsidR="002A7C22" w:rsidRDefault="002A7C22">
      <w:pPr>
        <w:spacing w:after="160" w:line="259" w:lineRule="auto"/>
        <w:jc w:val="left"/>
      </w:pPr>
      <w:r>
        <w:br w:type="page"/>
      </w:r>
    </w:p>
    <w:p w14:paraId="638BD7DF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</w:t>
            </w:r>
            <w:bookmarkStart w:id="1" w:name="_GoBack"/>
            <w:bookmarkEnd w:id="1"/>
            <w:r w:rsidRPr="00D26CCD">
              <w:rPr>
                <w:rFonts w:ascii="Arial" w:hAnsi="Arial" w:cs="Arial"/>
                <w:szCs w:val="24"/>
              </w:rPr>
              <w:t xml:space="preserve">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54AF841D" w14:textId="77777777" w:rsidR="008B1317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  <w:p w14:paraId="0D33F51A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E061BEC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  <w:p w14:paraId="1FB00E60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97FDB93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  <w:p w14:paraId="5EE71DFC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6EE50F9" w14:textId="77777777" w:rsidR="004667FD" w:rsidRDefault="004667F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14:paraId="0C5EF977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7A9EAD7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  <w:p w14:paraId="45F94B54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F12786F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  <w:p w14:paraId="36323675" w14:textId="0FB7BBF2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6B1E38C" w14:textId="78C28D8B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  <w:p w14:paraId="1DE3AA78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7D015EC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4549C8CF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  <w:p w14:paraId="155234F0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E388A5A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805B151" w14:textId="77777777" w:rsidR="00356ECB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</w:t>
            </w:r>
          </w:p>
          <w:p w14:paraId="00FA9EAA" w14:textId="18E9385A" w:rsidR="00356ECB" w:rsidRPr="00D26CCD" w:rsidRDefault="00356EC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55 </w:t>
            </w:r>
          </w:p>
        </w:tc>
        <w:tc>
          <w:tcPr>
            <w:tcW w:w="6930" w:type="dxa"/>
          </w:tcPr>
          <w:p w14:paraId="05553675" w14:textId="77777777" w:rsidR="004667FD" w:rsidRDefault="004667F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SB-23-11002 – Health Dept. – Provider Agreement with Johns Hopkins University.</w:t>
            </w:r>
          </w:p>
          <w:p w14:paraId="6110DE79" w14:textId="6F182D71" w:rsidR="004667FD" w:rsidRDefault="004667F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SB-23-11623 – Health Dept. – Ratification with Johns Hopkins University IPC.</w:t>
            </w:r>
          </w:p>
          <w:p w14:paraId="753AE2B5" w14:textId="77777777" w:rsidR="004667FD" w:rsidRDefault="004667F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SB-23-10941 – Health Dept. Provider Agreement with United Way of Central Maryland.</w:t>
            </w:r>
          </w:p>
          <w:p w14:paraId="2CE2FB34" w14:textId="77777777" w:rsidR="004667FD" w:rsidRDefault="004667F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SB-23-11480 – Health Dept. Provider Agreement with Johns Hopkins University School of Nursing Reach Initiative Program</w:t>
            </w:r>
            <w:r w:rsidR="00356ECB">
              <w:rPr>
                <w:rFonts w:ascii="Arial" w:hAnsi="Arial" w:cs="Arial"/>
                <w:szCs w:val="24"/>
              </w:rPr>
              <w:t>.</w:t>
            </w:r>
          </w:p>
          <w:p w14:paraId="75ED58B5" w14:textId="77777777" w:rsidR="00356ECB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SB-23-11295 – Health Dept. Provider Agreement with Johns Hopkins University.</w:t>
            </w:r>
          </w:p>
          <w:p w14:paraId="718EA2A7" w14:textId="7F2D428D" w:rsidR="00356ECB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SB-23-11264 – Health Dept. Ratification with Johns Hopkins Hospital/FEMA</w:t>
            </w:r>
          </w:p>
          <w:p w14:paraId="02670189" w14:textId="77777777" w:rsidR="00356ECB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SB-23-10818 – Health Dept. Johns Hopkins Provider Agreement with Johns Hopkins University Pediatrics-Medical Case Management</w:t>
            </w:r>
          </w:p>
          <w:p w14:paraId="5360CDE1" w14:textId="77777777" w:rsidR="00356ECB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SB-23-11192 – Health Dept. Johns Hopkins University, Bloomberg Center for Adolescent Health Baltimore City Reproductive Planning and Access Now.</w:t>
            </w:r>
          </w:p>
          <w:p w14:paraId="11BD6FF4" w14:textId="2586EF5B" w:rsidR="00356ECB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SB-23-12216 – Mayor’s Office – Travel Request</w:t>
            </w:r>
          </w:p>
          <w:p w14:paraId="3FFEDE17" w14:textId="0C323E4F" w:rsidR="00356ECB" w:rsidRPr="00D26CCD" w:rsidRDefault="00356EC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SB-23-12215 – Mayor’s Office – Travel Request 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6F1A4A19" w:rsidR="00EA2A37" w:rsidRPr="00D26CCD" w:rsidRDefault="006B47A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0531B7F7" w:rsidR="00EA2A37" w:rsidRPr="00F15765" w:rsidRDefault="00F15765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CELESTE read memo.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69DC6DBA" w14:textId="77777777" w:rsidR="008B1317" w:rsidRDefault="00F1576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</w:t>
            </w:r>
          </w:p>
          <w:p w14:paraId="5D69F2DF" w14:textId="3404BF81" w:rsidR="00F15765" w:rsidRPr="00D26CCD" w:rsidRDefault="00F1576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930" w:type="dxa"/>
          </w:tcPr>
          <w:p w14:paraId="1538C5C6" w14:textId="77777777" w:rsidR="008B1317" w:rsidRDefault="00F1576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SB-23-12111 Law Dept. Travel Request</w:t>
            </w:r>
          </w:p>
          <w:p w14:paraId="449738BE" w14:textId="7252D8FD" w:rsidR="00F15765" w:rsidRPr="00D26CCD" w:rsidRDefault="00F15765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SB-23-12124 – Law Dept. Travel Request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D26CCD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16188FD1" w:rsidR="00C80AC4" w:rsidRPr="00D26CCD" w:rsidRDefault="003720BC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C80AC4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3060"/>
        <w:gridCol w:w="1170"/>
        <w:gridCol w:w="801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6B47AB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6B47AB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</w:tcPr>
          <w:p w14:paraId="0E74A576" w14:textId="6B92B271" w:rsidR="00EA2A37" w:rsidRPr="00D26CCD" w:rsidRDefault="006B47AB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170" w:type="dxa"/>
          </w:tcPr>
          <w:p w14:paraId="153E4591" w14:textId="77777777" w:rsidR="00EA2A37" w:rsidRDefault="0021379C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  <w:p w14:paraId="731FAF47" w14:textId="77777777" w:rsidR="009645AE" w:rsidRDefault="009645AE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E5906E3" w14:textId="5869EFC1" w:rsidR="00F15765" w:rsidRDefault="00F15765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111</w:t>
            </w:r>
          </w:p>
          <w:p w14:paraId="42F0349E" w14:textId="09C67A93" w:rsidR="009645AE" w:rsidRPr="00D26CCD" w:rsidRDefault="009645AE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4D99498E" w14:textId="3BB7E2C6" w:rsidR="00EA2A37" w:rsidRDefault="00F15765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SB-23-11264 – Health Dept. Ratification Johns Hopkins Hospital/FEMA</w:t>
            </w:r>
          </w:p>
          <w:p w14:paraId="18838D0A" w14:textId="77777777" w:rsidR="009645AE" w:rsidRDefault="009645AE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41F5FB4" w14:textId="6402EC02" w:rsidR="00F15765" w:rsidRPr="00D26CCD" w:rsidRDefault="00F15765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SB-23-12144 – Procurement Multiple Awards - Solicitation No. RFQ-000155 – Fiber Optic Cable Installation, Maintenance and Repair Services</w:t>
            </w:r>
          </w:p>
        </w:tc>
      </w:tr>
      <w:tr w:rsidR="00EA2A37" w:rsidRPr="00D26CCD" w14:paraId="723B796A" w14:textId="77777777" w:rsidTr="006B47AB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737ED7A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6B47AB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sectPr w:rsidR="00875740" w:rsidRPr="00D26CCD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7CB" w14:textId="77777777" w:rsidR="00B95B1C" w:rsidRDefault="00B95B1C" w:rsidP="00A53D00">
      <w:r>
        <w:separator/>
      </w:r>
    </w:p>
  </w:endnote>
  <w:endnote w:type="continuationSeparator" w:id="0">
    <w:p w14:paraId="181FC62A" w14:textId="77777777" w:rsidR="00B95B1C" w:rsidRDefault="00B95B1C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672" w14:textId="77777777" w:rsidR="00B95B1C" w:rsidRDefault="00B95B1C" w:rsidP="00A53D00">
      <w:r>
        <w:separator/>
      </w:r>
    </w:p>
  </w:footnote>
  <w:footnote w:type="continuationSeparator" w:id="0">
    <w:p w14:paraId="060D3BCE" w14:textId="77777777" w:rsidR="00B95B1C" w:rsidRDefault="00B95B1C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1A34D6"/>
    <w:rsid w:val="0021379C"/>
    <w:rsid w:val="002A6322"/>
    <w:rsid w:val="002A7C22"/>
    <w:rsid w:val="002E36EA"/>
    <w:rsid w:val="003477E2"/>
    <w:rsid w:val="00356ECB"/>
    <w:rsid w:val="003720BC"/>
    <w:rsid w:val="00395527"/>
    <w:rsid w:val="003E1B98"/>
    <w:rsid w:val="004667FD"/>
    <w:rsid w:val="00495A00"/>
    <w:rsid w:val="00555785"/>
    <w:rsid w:val="00571328"/>
    <w:rsid w:val="005A0D8D"/>
    <w:rsid w:val="005B151D"/>
    <w:rsid w:val="005F6A02"/>
    <w:rsid w:val="006B47AB"/>
    <w:rsid w:val="006F6A3B"/>
    <w:rsid w:val="00716403"/>
    <w:rsid w:val="007604FC"/>
    <w:rsid w:val="007F36FB"/>
    <w:rsid w:val="008221B2"/>
    <w:rsid w:val="00866098"/>
    <w:rsid w:val="00875740"/>
    <w:rsid w:val="0089483E"/>
    <w:rsid w:val="008B1317"/>
    <w:rsid w:val="008C7D85"/>
    <w:rsid w:val="009156D4"/>
    <w:rsid w:val="00924B81"/>
    <w:rsid w:val="009645AE"/>
    <w:rsid w:val="0097211E"/>
    <w:rsid w:val="00983110"/>
    <w:rsid w:val="00A53D00"/>
    <w:rsid w:val="00A62E80"/>
    <w:rsid w:val="00AC2575"/>
    <w:rsid w:val="00B04E7C"/>
    <w:rsid w:val="00B22D12"/>
    <w:rsid w:val="00B76326"/>
    <w:rsid w:val="00B82760"/>
    <w:rsid w:val="00B83528"/>
    <w:rsid w:val="00B9306C"/>
    <w:rsid w:val="00B95B1C"/>
    <w:rsid w:val="00C14638"/>
    <w:rsid w:val="00C414C7"/>
    <w:rsid w:val="00C80AC4"/>
    <w:rsid w:val="00D21348"/>
    <w:rsid w:val="00D26CCD"/>
    <w:rsid w:val="00D641D1"/>
    <w:rsid w:val="00D909A1"/>
    <w:rsid w:val="00DC2698"/>
    <w:rsid w:val="00E60E9C"/>
    <w:rsid w:val="00E62226"/>
    <w:rsid w:val="00E97551"/>
    <w:rsid w:val="00EA2A37"/>
    <w:rsid w:val="00F15765"/>
    <w:rsid w:val="00F248E2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http://schemas.microsoft.com/office/2006/documentManagement/types"/>
    <ds:schemaRef ds:uri="95983808-33c6-40d7-b740-881628301918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d958d24-aa26-4702-9457-8b3c02f307a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12</cp:revision>
  <cp:lastPrinted>2023-06-21T12:34:00Z</cp:lastPrinted>
  <dcterms:created xsi:type="dcterms:W3CDTF">2023-06-20T15:29:00Z</dcterms:created>
  <dcterms:modified xsi:type="dcterms:W3CDTF">2023-06-21T12:45:00Z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